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BEC" w:rsidRDefault="005A0BEC" w:rsidP="005A0BEC">
      <w:pPr>
        <w:rPr>
          <w:rFonts w:ascii="Times New Roman" w:hAnsi="Times New Roman" w:cs="Times New Roman"/>
          <w:sz w:val="28"/>
          <w:szCs w:val="28"/>
          <w:lang w:val="ky-KG"/>
        </w:rPr>
      </w:pPr>
    </w:p>
    <w:p w:rsidR="005A0BEC" w:rsidRPr="00790DD4" w:rsidRDefault="005A0BEC" w:rsidP="005A0BEC">
      <w:pPr>
        <w:jc w:val="center"/>
        <w:rPr>
          <w:rFonts w:ascii="Times New Roman" w:hAnsi="Times New Roman" w:cs="Times New Roman"/>
          <w:b/>
          <w:sz w:val="28"/>
          <w:szCs w:val="28"/>
          <w:lang w:val="ky-KG"/>
        </w:rPr>
      </w:pPr>
      <w:r w:rsidRPr="00790DD4">
        <w:rPr>
          <w:rFonts w:ascii="Times New Roman" w:hAnsi="Times New Roman" w:cs="Times New Roman"/>
          <w:b/>
          <w:sz w:val="28"/>
          <w:szCs w:val="28"/>
          <w:lang w:val="ky-KG"/>
        </w:rPr>
        <w:t>“Кыргыз Республикасынын Өкмөтүнүн экспорттук контролдоо чөйрөсүндөгү айрым чечимдерине өзгөртүүлөрдү</w:t>
      </w:r>
    </w:p>
    <w:p w:rsidR="005A0BEC" w:rsidRPr="00790DD4" w:rsidRDefault="005A0BEC" w:rsidP="005A0BEC">
      <w:pPr>
        <w:jc w:val="center"/>
        <w:rPr>
          <w:rFonts w:ascii="Times New Roman" w:hAnsi="Times New Roman" w:cs="Times New Roman"/>
          <w:b/>
          <w:sz w:val="28"/>
          <w:szCs w:val="28"/>
          <w:lang w:val="ky-KG"/>
        </w:rPr>
      </w:pPr>
      <w:r w:rsidRPr="00790DD4">
        <w:rPr>
          <w:rFonts w:ascii="Times New Roman" w:hAnsi="Times New Roman" w:cs="Times New Roman"/>
          <w:b/>
          <w:sz w:val="28"/>
          <w:szCs w:val="28"/>
          <w:lang w:val="ky-KG"/>
        </w:rPr>
        <w:t>киргизүү жөнүндө” Кыргыз Республикасынын Өкмөтүнүн</w:t>
      </w:r>
    </w:p>
    <w:p w:rsidR="005A0BEC" w:rsidRPr="00790DD4" w:rsidRDefault="005A0BEC" w:rsidP="005A0BEC">
      <w:pPr>
        <w:jc w:val="center"/>
        <w:rPr>
          <w:rFonts w:ascii="Times New Roman" w:hAnsi="Times New Roman" w:cs="Times New Roman"/>
          <w:b/>
          <w:sz w:val="28"/>
          <w:szCs w:val="28"/>
          <w:lang w:val="ky-KG"/>
        </w:rPr>
      </w:pPr>
      <w:r w:rsidRPr="00790DD4">
        <w:rPr>
          <w:rFonts w:ascii="Times New Roman" w:hAnsi="Times New Roman" w:cs="Times New Roman"/>
          <w:b/>
          <w:sz w:val="28"/>
          <w:szCs w:val="28"/>
          <w:lang w:val="ky-KG"/>
        </w:rPr>
        <w:t>токтом долбооруна негиздеме-маалымкат</w:t>
      </w:r>
    </w:p>
    <w:p w:rsidR="005A0BEC" w:rsidRPr="00790DD4" w:rsidRDefault="005A0BEC" w:rsidP="005A0BEC">
      <w:pPr>
        <w:jc w:val="both"/>
        <w:rPr>
          <w:rFonts w:ascii="Times New Roman" w:hAnsi="Times New Roman" w:cs="Times New Roman"/>
          <w:b/>
          <w:sz w:val="28"/>
          <w:szCs w:val="28"/>
          <w:lang w:val="ky-KG"/>
        </w:rPr>
      </w:pP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Долбоордун максаты жана милдети</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“Кыргыз Республикасынын Өкмөтүнүн экспорттук контролдоо чөйрөсүндөгү айрым чечимдерине өзгөртүүлөрдү киргизүү жөнүндө” Кыргыз Республикасынын Өкмөтүнүн токтом долбоорунун максаты жана милдети экспорттук контролдоо чөйрөсүндөгү ченемдик укуктук актыларды Кыргыз Республикасы катышуучу болуп саналган, массалык жок кылуучу куралды жайылтпоо жаатындагы эл аралык келишимдердин талаптарына шайкеш келтирүү жана экспорттук контролдоонун кыйла натыйжалуу системасын түзүү жана иштетүү болуп саналат. </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Өкмөтүнүн ушул токтом долбоору менен Кыргыз Республикасынын экспорттук контролдоо чөйрөсүндөгү төмөнкүдөй ченемдик актыларга өзгөртүүлөрдү киргизүү сунушталууда:</w:t>
      </w:r>
    </w:p>
    <w:p w:rsidR="005A0BEC" w:rsidRPr="00790DD4" w:rsidRDefault="005A0BEC" w:rsidP="005A0BEC">
      <w:pPr>
        <w:pStyle w:val="a3"/>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Өкмөтүнүн 2004-жылдын 4-майындагы №330 “Экспорттук контролдун улуттук системасын Кыргыз Республикасында ишке киргизүү боюнча чаралар жөнүндө” токтому;</w:t>
      </w:r>
    </w:p>
    <w:p w:rsidR="005A0BEC" w:rsidRPr="00790DD4" w:rsidRDefault="005A0BEC" w:rsidP="005A0BEC">
      <w:pPr>
        <w:pStyle w:val="a3"/>
        <w:numPr>
          <w:ilvl w:val="0"/>
          <w:numId w:val="1"/>
        </w:numPr>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Кыргыз Республикасынын Өкмөтүнүн 2010-жылдын 27-октябрындагы №257 “Кыргыз Республикасында экспорттук контролдун улуттук тутумун өркүндөтүү боюнча андан аркы чаралары жөнүндө” токтому.  </w:t>
      </w:r>
    </w:p>
    <w:p w:rsidR="005A0BEC" w:rsidRPr="00790DD4" w:rsidRDefault="005A0BEC" w:rsidP="005A0BEC">
      <w:pPr>
        <w:jc w:val="both"/>
        <w:rPr>
          <w:rFonts w:ascii="Times New Roman" w:hAnsi="Times New Roman" w:cs="Times New Roman"/>
          <w:sz w:val="28"/>
          <w:szCs w:val="28"/>
          <w:lang w:val="ky-KG"/>
        </w:rPr>
      </w:pP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Баяндоочу бөлүгү</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2003-жылы Кыргыз Республикасынын “Экспорттук контролдоо жөнүндө” Мыйзамынын кабыл алынышы менен Кыргыз Республикасында экспорттук контролдоонун улуттук системасынын мыйзамдык базасы түзүлдү. </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Мыйзам мамлекеттик саясатты ишке ашыруунун принциптерин жана Кыргыз Республикасынын мамлекеттик башкаруу органдарынын жана экспорттук контролдоо жаатындагы тышкы экономикалык иштердин катышуучуларынын ишинин укуктук негизин белгилейт, ошондой эле алардын укуктарын, ушул чөйрөдөгү милдеттенмелерин жана жоопкерчиликтерин аныктайт.  </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Аталган ченемдик укуктук акт массалык жок кылуучу куралдарды, аларды жеткирүүчү каражаттарды жайылтпоо жаатындагы Кыргыз Республикасынын эл аралык келишимдеринин талаптарын ишке ашырууга жана Кыргыз Республикасынын Улуттук контролдук тизмесине кирген контролдонуучу товарлардын массалык жок кылуучу куралдарды түзүүдө, ошондой эле террористтик актыларды даярдоодо жана жасоодо мыйзамсыз колдонулушуна жол бербөө максатында, ошол товарлар менен тышкы </w:t>
      </w:r>
      <w:r w:rsidRPr="00790DD4">
        <w:rPr>
          <w:rFonts w:ascii="Times New Roman" w:hAnsi="Times New Roman" w:cs="Times New Roman"/>
          <w:sz w:val="28"/>
          <w:szCs w:val="28"/>
          <w:lang w:val="ky-KG"/>
        </w:rPr>
        <w:lastRenderedPageBreak/>
        <w:t>экономикалык операцияларды ишке ашыруунун уруксат берүү тартибин аныктоого багытталган.</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Аталган Мыйзамды ишке ашыруу үчүн Кыргыз Республикасынын Өкмөтү бир катар ченемдик актыларды, анын ичинде экспорттук контролдонууга тийиш продукциялардын Кыргыз Республикасынын аймагы аркылуу транзитине уруксат берүү тартиби Кыргыз Республикасынын Өкмөтүнүн 2004-жылдын 4-майындагы №330 “Экспорттук контролдун улуттук системасын Кыргыз Республикасында ишке киргизүү боюнча чаралар жөнүндө” токтому менен бекитилген Экспорттук контролдонууга тийиш продукциялардын Кыргыз Республикасынын аймагы аркылуу транзитине уруксат берүү тартибин кабыл алган.</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Ошондой эле, Кыргыз Республикасынын Өкмөтүнүн 2010-жылдын 27-октябрындагы №257 “Кыргыз Республикасында экспорттук контролдун улуттук тутумун өркүндөтүү боюнча андан аркы чаралары жөнүндө” токтомуна менен бекитилген, Кыргыз Республикасында контролдонуучу продукцияга экспорттук контролду жүзөгө ашыруунун тартиби жөнүндө жобо.</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Бул Жобо экспорттук контролдоонун жалпы тартибин, контролдонуучу продукциялардын экспортуна, импортуна жана реэкспортуна лицензияларды тариздөөдө жана берүүдө бирдиктүү шарттарды жана талаптарды аныктайт жана мамлекеттик башкаруу органдары менен тышкы экономикалык иштердин катышуучуларынын ортосундагы мамилени жөнгө салат.</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“Кыргыз Республикасынын экспорттук контролдоо чөйрөсүндөгү айрым ченемдик укуктук актыларына өзгөртүүлөрдү киргизүү жөнүндө” Кыргыз Республикасынын Өкмөтүнүн токтом долбоору Кыргыз Республикасынын Өкмөтүнүн 2017-жылдын 24-июлундагы №443 “Бириккен Улуттар Уюмунун Коопсуздук Кеңешинин 1540 резолюциясын аткаруу боюнча 2017-2019-жж. Кыргыз Республикасынын иш-аракеттер планын бекитүү жөнүндө” токтомуна ылайык иштелип чыкты. </w:t>
      </w:r>
    </w:p>
    <w:p w:rsidR="005A0BEC" w:rsidRPr="00790DD4" w:rsidRDefault="005A0BEC" w:rsidP="005A0BEC">
      <w:pPr>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ab/>
        <w:t>Экспорттук контролдонууга тийиш продукциялардын Кыргыз Республикасынын аймагы аркылуу транзитине уруксат берүү тартиби 2004-жылы кабыл алынгандыгын жана акыркы оңдоолор ага 2013-жылы киргизилгендигин эске алып, министрлик тарабынан аны “Кыргыз Республикасында контролдонуучу продукцияга экспорттук контролдоо жүргүзүү тартиби жөнүндө жобого” Жобонун өз алдынча главасы катары киргизүү демилгеленүүдө.</w:t>
      </w:r>
    </w:p>
    <w:p w:rsidR="005A0BEC" w:rsidRPr="00790DD4" w:rsidRDefault="005A0BEC" w:rsidP="005A0BEC">
      <w:pPr>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ab/>
        <w:t xml:space="preserve">Бул Өлкөнүн ичинде контролдонуучу продукцияны өткөрүп берүүгө уруксат берүү тартиби Жобого киргизилгендиги, ал эми транзитке уруксат берүү тартиби Кыргыз Республикасынын Өкмөтүнүн өз алдынча чечими менен бекитилгендиги менен шартталган. Буга байланыштуу, мамлекеттик органдар жана ТЭИ катышуучулары тарабынан ченемдик документти колдонууну жөнөкөйлөтүү максатында лицензияларды жана уруксаттарды каттоодо жана берүүдө контролду ишке ашыруунун жалпы тартиби, бирдиктүү шарттары жана талаптары бир ченемдик актка бириктирилген.  </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Ошондой эле, долбоор ыйгарым укуктуу органдар тарабынан уруксат берүүчү документтерди берүү бөлүгүндө Тартиптин жана Жобонун ченемдеринде шайкеш келбестиктерди жокко чыгарууну караштырат. Өнөр жай багытындагы жарылуучу заттарды ташып келүүдө акыркы колдонуучу сертификатын макулдашуу боюнча Кыргыз Республикасынын профилдик мамлекеттик органы (КР Коргоо иштери боюнча мамлекеттик комитеттин ордуна КР Өнөр жай, энергетика жана жер казынасын пайдалануу мамлекеттик комитети) аныкталган (Жобонун 2.4-п. шайкеш келтирилди).</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Бириккен Улуттар Уюмунун Коопсуздук Кеңешинин 1540 резолюциясын аткаруу боюнча аракеттердин планына ылайык Министрлик тарабынан Кыргыз Республикасынын Өкмөтүнүн “Химиялык куралды иштеп чыгууга, өндүрүүгө, топтоого жана колдонууга тыюу салуу жана аны жок кылуу жөнүндө конвенцияны ишке ашыруу боюнча жобону бекитүү тууралуу” токтом долбоору иштеп чыккан жана Өкмөттүн Аппаратына бекитүүгө киргизилген. Ушул долбоорго ылайык Кыргыз Республикасынын Улуттук илимдер академиясы химикаттардын экспортуна, импортуна жана реэкспортуна лицензия алуу арызына мамлекеттик экспертиза жүргүзөт жана контролдонуучу химикаттарга кошуу предметине химиялык бирикмелерге идентификация жүргүзөт. </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Ошондой эле, экспорттук контролдоо максатында Идентификациялоо борборлорун түзүүнүн жана ишинин тартибинин жана Товарларга жана технологияларга көзкарандысыз идентификациялык экспертиза жүргүзүү жөнүндө жобонун долбоорлору иштелип чыккан, аларга ылайык арыз берген уюмдар кош багыттагы товарларга жана технологияларга көзкарандысыз идентификациялык экспертиза жүргүзүү боюнча ишти жүзөгө ашырууга атайын уруксатты ала алышат, буга байланыштуу КР УИА эксперт катары тартуу зарылдыгы жоголууда. </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Жогоруда берилгендердин негизинде долбоор менен уруксат берүүчү документтерди Кыргыз Республикасынын Улуттук илимдер академиясы менен макулдашуунун ашыкча функциясын жокко чыгаруу сунушталууда. </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Ошондой эле, транзит арыз берген өлкөнүн ыйгарым укуктуу органы эмес ТЭИ катышуучусу тарабынан жүргүзүлгөндө мүмкүндү авариядан зыяндын ордун толтуруу жөнүндө кепилдикти тастыктоо бөлүгүндө транзитке уруксат берүү жол-жобосуна карата айрым талаптар жөнөкөйлөтүлүүдө. </w:t>
      </w:r>
    </w:p>
    <w:p w:rsidR="005A0BEC" w:rsidRPr="00790DD4" w:rsidRDefault="005A0BEC" w:rsidP="005A0BEC">
      <w:pPr>
        <w:ind w:firstLine="708"/>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Контролдонуучу продукциянын түрүнө жараша транзит жөнүндө маселени макулдашуу үчүн мамлекеттик органдардын санын кыскартуу сунушталууда. </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Экспорттук контролдоону анын максатына жетүү зарылдыгы үчүн эле ишке ашыруу жана импорттолгон контролдонуучу продукцияларды өлкөнүн ичинде берүүгө уруксат тартибин аткарууда мүмкүн болуучу коррупциялык тобокелдиктерди жок кылуу максатында бул жол-жобону ТЭИ катышуучуларын экспортёр өлкөнүн ыйгарым укуктуу органы менен эмес, анын экспортёру менен макулдашуу сунушталууда. </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lastRenderedPageBreak/>
        <w:t>Контролдонуучу продукциялардын транзитине уруксат берүү жол-жобосу жана мөөнөтү такталды. Контролдонуучу продукциялардын аба транспорту менен транзитине уруксат берүү жол-жобосу толукталды.</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Мындан тышкары, Жобонун бир катар ченемдери такталды жана лицензиялоо, экспорттук контролдоо чөйрөсүндөгү мыйзамдарга шайкеш келтирилди.</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Кыргыз Республикасынын Өкмөтүнүн ушул токтом долбоору менен Кыргыз Республикасынын аймагы аркылуу контролдонуучу продукциялардын транзитине уруксаттын жана арыздын формалары бекитилүүдө (6 жана 7-тиркемелер), экспорттук контролдоону талаптагыдай уюштуруу максатында уруксаттын колдонуу мөөнөтү аныкталды. </w:t>
      </w: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5A0BEC" w:rsidRPr="00790DD4" w:rsidRDefault="005A0BEC" w:rsidP="005A0BEC">
      <w:pPr>
        <w:pStyle w:val="a3"/>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Коомдук талкуулоонун жыйынтыктары жөнүндө маалымат</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Өкмөтүнүн расмий сайтына жана Кыргыз Республикасынын Экономика министрлигинин сайтына жайгаштырылган.</w:t>
      </w: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Долбоордун мыйзамдарга шайкештигин талдоо</w:t>
      </w:r>
    </w:p>
    <w:p w:rsidR="005A0BEC" w:rsidRPr="00790DD4" w:rsidRDefault="005A0BEC" w:rsidP="005A0BEC">
      <w:pPr>
        <w:pStyle w:val="a3"/>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5A0BEC" w:rsidRPr="00790DD4" w:rsidRDefault="005A0BEC" w:rsidP="005A0BEC">
      <w:pPr>
        <w:pStyle w:val="a3"/>
        <w:numPr>
          <w:ilvl w:val="0"/>
          <w:numId w:val="2"/>
        </w:numPr>
        <w:ind w:left="0" w:firstLine="709"/>
        <w:jc w:val="both"/>
        <w:rPr>
          <w:rFonts w:ascii="Times New Roman" w:hAnsi="Times New Roman" w:cs="Times New Roman"/>
          <w:sz w:val="28"/>
          <w:szCs w:val="28"/>
          <w:lang w:val="ky-KG"/>
        </w:rPr>
      </w:pPr>
      <w:r w:rsidRPr="00790DD4">
        <w:rPr>
          <w:rFonts w:ascii="Times New Roman" w:hAnsi="Times New Roman" w:cs="Times New Roman"/>
          <w:b/>
          <w:sz w:val="28"/>
          <w:szCs w:val="28"/>
          <w:lang w:val="ky-KG"/>
        </w:rPr>
        <w:t>Каржылоо зарылдыгы жөнүндө маалымат</w:t>
      </w:r>
    </w:p>
    <w:p w:rsidR="005A0BEC" w:rsidRPr="00790DD4" w:rsidRDefault="005A0BEC" w:rsidP="005A0BEC">
      <w:pPr>
        <w:pStyle w:val="a3"/>
        <w:ind w:left="0"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5A0BEC" w:rsidRPr="00790DD4" w:rsidRDefault="005A0BEC" w:rsidP="005A0BEC">
      <w:pPr>
        <w:pStyle w:val="a3"/>
        <w:numPr>
          <w:ilvl w:val="0"/>
          <w:numId w:val="2"/>
        </w:numPr>
        <w:ind w:left="0" w:firstLine="709"/>
        <w:jc w:val="both"/>
        <w:rPr>
          <w:rFonts w:ascii="Times New Roman" w:hAnsi="Times New Roman" w:cs="Times New Roman"/>
          <w:b/>
          <w:sz w:val="28"/>
          <w:szCs w:val="28"/>
          <w:lang w:val="ky-KG"/>
        </w:rPr>
      </w:pPr>
      <w:r w:rsidRPr="00790DD4">
        <w:rPr>
          <w:rFonts w:ascii="Times New Roman" w:hAnsi="Times New Roman" w:cs="Times New Roman"/>
          <w:b/>
          <w:sz w:val="28"/>
          <w:szCs w:val="28"/>
          <w:lang w:val="ky-KG"/>
        </w:rPr>
        <w:t>Жөнгө салуучу таасирин талдоо жөнүндө маалымат</w:t>
      </w: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sz w:val="28"/>
          <w:szCs w:val="28"/>
          <w:lang w:val="ky-KG"/>
        </w:rPr>
        <w:t>Сунушталган долбоор жөнгө салуучу таасирине талдоо жүргүзүүнү талап кылат. Ушундан улам, Министрлик тарабынан аталган долбоорго карата Кыргыз Республикасынын Өкмөтүнүн 2014-жылдын 30-сентябрын6дагы №559 токтому менен бекитилген, ишкердик субъекттеринин ишине ченемдик укуктук актынын жөнгө салуучу таасирине талдоо жүргүзүү методикасына ылайык ЖСТТ иштелип чыкты.</w:t>
      </w:r>
    </w:p>
    <w:p w:rsidR="005A0BEC" w:rsidRPr="00790DD4" w:rsidRDefault="005A0BEC" w:rsidP="005A0BEC">
      <w:pPr>
        <w:ind w:firstLine="709"/>
        <w:jc w:val="both"/>
        <w:rPr>
          <w:rFonts w:ascii="Times New Roman" w:hAnsi="Times New Roman" w:cs="Times New Roman"/>
          <w:sz w:val="28"/>
          <w:szCs w:val="28"/>
          <w:lang w:val="ky-KG"/>
        </w:rPr>
      </w:pPr>
    </w:p>
    <w:p w:rsidR="005A0BEC" w:rsidRPr="00790DD4" w:rsidRDefault="005A0BEC" w:rsidP="005A0BEC">
      <w:pPr>
        <w:ind w:firstLine="709"/>
        <w:jc w:val="both"/>
        <w:rPr>
          <w:rFonts w:ascii="Times New Roman" w:hAnsi="Times New Roman" w:cs="Times New Roman"/>
          <w:sz w:val="28"/>
          <w:szCs w:val="28"/>
          <w:lang w:val="ky-KG"/>
        </w:rPr>
      </w:pPr>
    </w:p>
    <w:p w:rsidR="005A0BEC" w:rsidRPr="00790DD4" w:rsidRDefault="005A0BEC" w:rsidP="005A0BEC">
      <w:pPr>
        <w:ind w:firstLine="709"/>
        <w:jc w:val="both"/>
        <w:rPr>
          <w:rFonts w:ascii="Times New Roman" w:hAnsi="Times New Roman" w:cs="Times New Roman"/>
          <w:sz w:val="28"/>
          <w:szCs w:val="28"/>
          <w:lang w:val="ky-KG"/>
        </w:rPr>
      </w:pPr>
      <w:r w:rsidRPr="00790DD4">
        <w:rPr>
          <w:rFonts w:ascii="Times New Roman" w:hAnsi="Times New Roman" w:cs="Times New Roman"/>
          <w:b/>
          <w:sz w:val="28"/>
          <w:szCs w:val="28"/>
          <w:lang w:val="ky-KG"/>
        </w:rPr>
        <w:t xml:space="preserve">Министр                                                  </w:t>
      </w:r>
      <w:r w:rsidR="008D370C">
        <w:rPr>
          <w:rFonts w:ascii="Times New Roman" w:hAnsi="Times New Roman" w:cs="Times New Roman"/>
          <w:b/>
          <w:sz w:val="28"/>
          <w:szCs w:val="28"/>
          <w:lang w:val="ky-KG"/>
        </w:rPr>
        <w:tab/>
      </w:r>
      <w:r w:rsidR="008D370C">
        <w:rPr>
          <w:rFonts w:ascii="Times New Roman" w:hAnsi="Times New Roman" w:cs="Times New Roman"/>
          <w:b/>
          <w:sz w:val="28"/>
          <w:szCs w:val="28"/>
          <w:lang w:val="ky-KG"/>
        </w:rPr>
        <w:tab/>
      </w:r>
      <w:bookmarkStart w:id="0" w:name="_GoBack"/>
      <w:bookmarkEnd w:id="0"/>
      <w:r w:rsidRPr="00790DD4">
        <w:rPr>
          <w:rFonts w:ascii="Times New Roman" w:hAnsi="Times New Roman" w:cs="Times New Roman"/>
          <w:b/>
          <w:sz w:val="28"/>
          <w:szCs w:val="28"/>
          <w:lang w:val="ky-KG"/>
        </w:rPr>
        <w:t xml:space="preserve">   С.Т. Муканбетов </w:t>
      </w:r>
    </w:p>
    <w:p w:rsidR="005A0BEC" w:rsidRPr="00790DD4" w:rsidRDefault="005A0BEC" w:rsidP="005A0BEC">
      <w:pPr>
        <w:ind w:firstLine="709"/>
        <w:jc w:val="both"/>
        <w:rPr>
          <w:rFonts w:ascii="Times New Roman" w:hAnsi="Times New Roman" w:cs="Times New Roman"/>
          <w:sz w:val="28"/>
          <w:szCs w:val="28"/>
          <w:lang w:val="ky-KG"/>
        </w:rPr>
      </w:pPr>
    </w:p>
    <w:p w:rsidR="005A0BEC" w:rsidRPr="00790DD4" w:rsidRDefault="005A0BEC" w:rsidP="005A0BEC">
      <w:pPr>
        <w:spacing w:line="276" w:lineRule="auto"/>
        <w:ind w:firstLine="709"/>
        <w:jc w:val="both"/>
        <w:rPr>
          <w:rFonts w:ascii="Times New Roman" w:hAnsi="Times New Roman" w:cs="Times New Roman"/>
          <w:sz w:val="28"/>
          <w:szCs w:val="28"/>
          <w:lang w:val="ky-KG"/>
        </w:rPr>
      </w:pPr>
    </w:p>
    <w:p w:rsidR="005A0BEC" w:rsidRPr="00790DD4" w:rsidRDefault="005A0BEC" w:rsidP="005A0BEC">
      <w:pPr>
        <w:jc w:val="both"/>
        <w:rPr>
          <w:rFonts w:ascii="Times New Roman" w:hAnsi="Times New Roman" w:cs="Times New Roman"/>
          <w:sz w:val="28"/>
          <w:szCs w:val="28"/>
          <w:lang w:val="ky-KG"/>
        </w:rPr>
      </w:pPr>
    </w:p>
    <w:p w:rsidR="00E24075" w:rsidRDefault="00E24075"/>
    <w:sectPr w:rsidR="00E24075" w:rsidSect="006A712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30E" w:rsidRDefault="0034430E" w:rsidP="005A0BEC">
      <w:r>
        <w:separator/>
      </w:r>
    </w:p>
  </w:endnote>
  <w:endnote w:type="continuationSeparator" w:id="0">
    <w:p w:rsidR="0034430E" w:rsidRDefault="0034430E" w:rsidP="005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DD4" w:rsidRDefault="0034430E" w:rsidP="00790DD4">
    <w:pPr>
      <w:pStyle w:val="a4"/>
      <w:jc w:val="both"/>
      <w:rPr>
        <w:rFonts w:ascii="Times New Roman" w:hAnsi="Times New Roman" w:cs="Times New Roman"/>
      </w:rPr>
    </w:pPr>
  </w:p>
  <w:p w:rsidR="00790DD4" w:rsidRDefault="0034430E" w:rsidP="00790DD4">
    <w:pPr>
      <w:pStyle w:val="a4"/>
      <w:jc w:val="both"/>
      <w:rPr>
        <w:rFonts w:ascii="Times New Roman" w:hAnsi="Times New Roman" w:cs="Times New Roman"/>
      </w:rPr>
    </w:pPr>
  </w:p>
  <w:p w:rsidR="00790DD4" w:rsidRDefault="0034430E" w:rsidP="00790DD4">
    <w:pPr>
      <w:pStyle w:val="a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30E" w:rsidRDefault="0034430E" w:rsidP="005A0BEC">
      <w:r>
        <w:separator/>
      </w:r>
    </w:p>
  </w:footnote>
  <w:footnote w:type="continuationSeparator" w:id="0">
    <w:p w:rsidR="0034430E" w:rsidRDefault="0034430E" w:rsidP="005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6937"/>
    <w:multiLevelType w:val="hybridMultilevel"/>
    <w:tmpl w:val="852ED94A"/>
    <w:lvl w:ilvl="0" w:tplc="22F6B5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BEC"/>
    <w:rsid w:val="0034430E"/>
    <w:rsid w:val="004435F6"/>
    <w:rsid w:val="005A0BEC"/>
    <w:rsid w:val="008D370C"/>
    <w:rsid w:val="00E24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BEC"/>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BEC"/>
    <w:pPr>
      <w:ind w:left="720"/>
      <w:contextualSpacing/>
    </w:pPr>
  </w:style>
  <w:style w:type="paragraph" w:styleId="a4">
    <w:name w:val="footer"/>
    <w:basedOn w:val="a"/>
    <w:link w:val="a5"/>
    <w:uiPriority w:val="99"/>
    <w:unhideWhenUsed/>
    <w:rsid w:val="005A0BEC"/>
    <w:pPr>
      <w:tabs>
        <w:tab w:val="center" w:pos="4677"/>
        <w:tab w:val="right" w:pos="9355"/>
      </w:tabs>
    </w:pPr>
  </w:style>
  <w:style w:type="character" w:customStyle="1" w:styleId="a5">
    <w:name w:val="Нижний колонтитул Знак"/>
    <w:basedOn w:val="a0"/>
    <w:link w:val="a4"/>
    <w:uiPriority w:val="99"/>
    <w:rsid w:val="005A0BEC"/>
  </w:style>
  <w:style w:type="paragraph" w:styleId="a6">
    <w:name w:val="header"/>
    <w:basedOn w:val="a"/>
    <w:link w:val="a7"/>
    <w:uiPriority w:val="99"/>
    <w:unhideWhenUsed/>
    <w:rsid w:val="005A0BEC"/>
    <w:pPr>
      <w:tabs>
        <w:tab w:val="center" w:pos="4677"/>
        <w:tab w:val="right" w:pos="9355"/>
      </w:tabs>
    </w:pPr>
  </w:style>
  <w:style w:type="character" w:customStyle="1" w:styleId="a7">
    <w:name w:val="Верхний колонтитул Знак"/>
    <w:basedOn w:val="a0"/>
    <w:link w:val="a6"/>
    <w:uiPriority w:val="99"/>
    <w:rsid w:val="005A0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BEC"/>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BEC"/>
    <w:pPr>
      <w:ind w:left="720"/>
      <w:contextualSpacing/>
    </w:pPr>
  </w:style>
  <w:style w:type="paragraph" w:styleId="a4">
    <w:name w:val="footer"/>
    <w:basedOn w:val="a"/>
    <w:link w:val="a5"/>
    <w:uiPriority w:val="99"/>
    <w:unhideWhenUsed/>
    <w:rsid w:val="005A0BEC"/>
    <w:pPr>
      <w:tabs>
        <w:tab w:val="center" w:pos="4677"/>
        <w:tab w:val="right" w:pos="9355"/>
      </w:tabs>
    </w:pPr>
  </w:style>
  <w:style w:type="character" w:customStyle="1" w:styleId="a5">
    <w:name w:val="Нижний колонтитул Знак"/>
    <w:basedOn w:val="a0"/>
    <w:link w:val="a4"/>
    <w:uiPriority w:val="99"/>
    <w:rsid w:val="005A0BEC"/>
  </w:style>
  <w:style w:type="paragraph" w:styleId="a6">
    <w:name w:val="header"/>
    <w:basedOn w:val="a"/>
    <w:link w:val="a7"/>
    <w:uiPriority w:val="99"/>
    <w:unhideWhenUsed/>
    <w:rsid w:val="005A0BEC"/>
    <w:pPr>
      <w:tabs>
        <w:tab w:val="center" w:pos="4677"/>
        <w:tab w:val="right" w:pos="9355"/>
      </w:tabs>
    </w:pPr>
  </w:style>
  <w:style w:type="character" w:customStyle="1" w:styleId="a7">
    <w:name w:val="Верхний колонтитул Знак"/>
    <w:basedOn w:val="a0"/>
    <w:link w:val="a6"/>
    <w:uiPriority w:val="99"/>
    <w:rsid w:val="005A0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1443</Words>
  <Characters>8228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Bekov</dc:creator>
  <cp:lastModifiedBy>Bekov</cp:lastModifiedBy>
  <cp:revision>3</cp:revision>
  <cp:lastPrinted>2020-10-30T05:53:00Z</cp:lastPrinted>
  <dcterms:created xsi:type="dcterms:W3CDTF">2020-10-30T04:58:00Z</dcterms:created>
  <dcterms:modified xsi:type="dcterms:W3CDTF">2020-10-30T05:54:00Z</dcterms:modified>
</cp:coreProperties>
</file>